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D5" w:rsidRPr="00B179D5" w:rsidRDefault="00B179D5" w:rsidP="00B179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</w:tabs>
        <w:rPr>
          <w:rFonts w:asciiTheme="minorHAnsi" w:hAnsiTheme="minorHAnsi" w:cstheme="minorHAnsi"/>
          <w:bCs/>
          <w:color w:val="000000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Rutin</w:t>
      </w:r>
      <w:r w:rsidRPr="003B15FA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vid tidsbegränsad anställning av </w:t>
      </w:r>
      <w:r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lärare</w:t>
      </w:r>
      <w:r w:rsidRPr="003B15FA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(</w:t>
      </w:r>
      <w:r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utom professor)</w:t>
      </w:r>
      <w:r w:rsidRPr="003B15FA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inom det Humanvetenskapliga området</w:t>
      </w:r>
      <w:r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.</w:t>
      </w:r>
    </w:p>
    <w:p w:rsidR="00B179D5" w:rsidRDefault="00B179D5" w:rsidP="00B179D5">
      <w:pPr>
        <w:pStyle w:val="Normaltext"/>
        <w:rPr>
          <w:szCs w:val="22"/>
        </w:rPr>
      </w:pPr>
      <w:r>
        <w:t xml:space="preserve">Av Lagen om anställningsskydd (LAS) framgår att huvudregeln på svensk arbetsmarknad är att anställningar ska vara tillsvidare (”fasta anställningar”), tidsbegränsade anställningar ska vara undantag.  </w:t>
      </w:r>
    </w:p>
    <w:p w:rsidR="00B179D5" w:rsidRDefault="00B179D5" w:rsidP="00B179D5">
      <w:pPr>
        <w:pStyle w:val="Normaltext"/>
        <w:ind w:left="283" w:right="340"/>
        <w:rPr>
          <w:i/>
          <w:iCs/>
        </w:rPr>
      </w:pPr>
      <w:r w:rsidRPr="00B179D5">
        <w:rPr>
          <w:i/>
          <w:iCs/>
        </w:rPr>
        <w:t>”</w:t>
      </w:r>
      <w:hyperlink r:id="rId6" w:anchor="P4S1" w:tooltip="Permalänk till detta stycke" w:history="1">
        <w:r w:rsidRPr="00B179D5">
          <w:rPr>
            <w:rStyle w:val="paragrafbeteckning"/>
            <w:i/>
            <w:iCs/>
          </w:rPr>
          <w:t>4 §</w:t>
        </w:r>
      </w:hyperlink>
      <w:r>
        <w:rPr>
          <w:i/>
          <w:iCs/>
        </w:rPr>
        <w:t xml:space="preserve"> Anställningsavtal gäller tills vidare. Avtal om tidsbegränsad anställning får dock träffas i de fall som anges </w:t>
      </w:r>
      <w:r w:rsidRPr="00B179D5">
        <w:rPr>
          <w:i/>
          <w:iCs/>
        </w:rPr>
        <w:t xml:space="preserve">i </w:t>
      </w:r>
      <w:hyperlink r:id="rId7" w:anchor="P5" w:history="1">
        <w:r w:rsidRPr="00B179D5">
          <w:rPr>
            <w:rStyle w:val="Hyperlnk"/>
            <w:i/>
            <w:iCs/>
            <w:color w:val="auto"/>
            <w:u w:val="none"/>
          </w:rPr>
          <w:t>5</w:t>
        </w:r>
      </w:hyperlink>
      <w:r w:rsidRPr="00B179D5">
        <w:rPr>
          <w:i/>
          <w:iCs/>
        </w:rPr>
        <w:t xml:space="preserve"> och </w:t>
      </w:r>
      <w:hyperlink r:id="rId8" w:anchor="P6" w:history="1">
        <w:r w:rsidRPr="00B179D5">
          <w:rPr>
            <w:rStyle w:val="Hyperlnk"/>
            <w:i/>
            <w:iCs/>
            <w:color w:val="auto"/>
            <w:u w:val="none"/>
          </w:rPr>
          <w:t>6 §§</w:t>
        </w:r>
      </w:hyperlink>
      <w:r w:rsidRPr="00B179D5">
        <w:rPr>
          <w:i/>
          <w:iCs/>
        </w:rPr>
        <w:t xml:space="preserve">. </w:t>
      </w:r>
      <w:r>
        <w:rPr>
          <w:i/>
          <w:iCs/>
        </w:rPr>
        <w:t xml:space="preserve">Träffas i annat fall ett sådant avtal, kan arbetstagaren på det sätt som anges i </w:t>
      </w:r>
      <w:hyperlink r:id="rId9" w:anchor="P36" w:history="1">
        <w:r w:rsidRPr="00B179D5">
          <w:rPr>
            <w:rStyle w:val="Hyperlnk"/>
            <w:i/>
            <w:iCs/>
            <w:color w:val="auto"/>
            <w:u w:val="none"/>
          </w:rPr>
          <w:t>36 §</w:t>
        </w:r>
      </w:hyperlink>
      <w:r w:rsidRPr="00B179D5">
        <w:rPr>
          <w:i/>
          <w:iCs/>
        </w:rPr>
        <w:t xml:space="preserve"> </w:t>
      </w:r>
      <w:r>
        <w:rPr>
          <w:i/>
          <w:iCs/>
        </w:rPr>
        <w:t>få domstols förklaring att avtalet ska gälla tills vidare.”</w:t>
      </w:r>
    </w:p>
    <w:p w:rsidR="00B179D5" w:rsidRDefault="00B179D5" w:rsidP="00B179D5">
      <w:pPr>
        <w:pStyle w:val="Normaltext"/>
      </w:pPr>
      <w:r>
        <w:t>Tidsbegränsade anställningar</w:t>
      </w:r>
      <w:r w:rsidR="00E74C00">
        <w:t xml:space="preserve"> </w:t>
      </w:r>
      <w:r w:rsidR="00125248">
        <w:t>(</w:t>
      </w:r>
      <w:r w:rsidR="00E74C00" w:rsidRPr="00192D28">
        <w:t>exempelvis universitetslektor</w:t>
      </w:r>
      <w:r w:rsidR="00D92D09" w:rsidRPr="00192D28">
        <w:t>, adjunkt, gästlärare och adjungerad</w:t>
      </w:r>
      <w:r w:rsidR="00E74C00" w:rsidRPr="00192D28">
        <w:t xml:space="preserve"> lärare</w:t>
      </w:r>
      <w:r w:rsidR="00125248" w:rsidRPr="00192D28">
        <w:t>)</w:t>
      </w:r>
      <w:r w:rsidRPr="00192D28">
        <w:t xml:space="preserve"> </w:t>
      </w:r>
      <w:r>
        <w:t>kan göras med stöd av bestämmelserna i LAS, stöd i annan lag eller förordning eller i kollektivtal.</w:t>
      </w:r>
    </w:p>
    <w:p w:rsidR="00B179D5" w:rsidRDefault="00B179D5" w:rsidP="00B179D5">
      <w:pPr>
        <w:pStyle w:val="Normaltext"/>
      </w:pPr>
      <w:r>
        <w:t xml:space="preserve">Av regeringsformen (RF) följer att vid tillsättning av anställningar vid statliga myndigheter ska avseende fästas enbart vid sakliga grunder såsom </w:t>
      </w:r>
      <w:r>
        <w:rPr>
          <w:i/>
          <w:iCs/>
        </w:rPr>
        <w:t>”förtjänst och skicklighet”</w:t>
      </w:r>
      <w:r>
        <w:t xml:space="preserve"> (12 kap. RF), varvid skickligheten ska sättas främst enligt 4 § lagen om offentlig anställning (LOA). </w:t>
      </w:r>
    </w:p>
    <w:p w:rsidR="00450778" w:rsidRDefault="00B179D5" w:rsidP="00B179D5">
      <w:r>
        <w:t xml:space="preserve">Att anställningar, såväl tillsvidareanställningar som tidsbegränsade, ska ledigkungöras framgår av 6 § anställningsförordningen (AF) som fastslår att myndigheter som avser anställa någon ska informera om (ledigkungöra anställningen) detta på lämpligt sätt. Någon information behöver dock inte lämnas om </w:t>
      </w:r>
      <w:r>
        <w:rPr>
          <w:i/>
          <w:iCs/>
        </w:rPr>
        <w:t>särskilda skäl talar mot det</w:t>
      </w:r>
      <w:r>
        <w:t xml:space="preserve">. Sådana skäl kan, enligt praxis, anses vara t.ex. omplacering eller företrädesrätt med stöd av lagen om anställningsskydd (LAS). </w:t>
      </w:r>
    </w:p>
    <w:p w:rsidR="00F558F7" w:rsidRPr="00670647" w:rsidRDefault="00F558F7" w:rsidP="00B179D5">
      <w:r w:rsidRPr="00670647">
        <w:t xml:space="preserve">För tillsättning av gästprofessor gäller särskilda </w:t>
      </w:r>
      <w:r w:rsidR="00C277E8" w:rsidRPr="00670647">
        <w:t>rutiner, beslutade</w:t>
      </w:r>
      <w:r w:rsidRPr="00670647">
        <w:t xml:space="preserve"> av Om</w:t>
      </w:r>
      <w:r w:rsidR="00C277E8" w:rsidRPr="00670647">
        <w:t>rådesnämnden för humanvetenskap 2017-04-19.</w:t>
      </w:r>
      <w:r w:rsidRPr="00670647">
        <w:t xml:space="preserve"> </w:t>
      </w:r>
      <w:r w:rsidR="00C277E8" w:rsidRPr="00670647">
        <w:t>Kontakta fakultetskansliet vid anställning av gästprofessor.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"/>
        <w:gridCol w:w="5198"/>
        <w:gridCol w:w="2543"/>
      </w:tblGrid>
      <w:tr w:rsidR="00450778" w:rsidRPr="003B15FA" w:rsidTr="00334EF9">
        <w:tc>
          <w:tcPr>
            <w:tcW w:w="590" w:type="dxa"/>
          </w:tcPr>
          <w:p w:rsidR="00450778" w:rsidRPr="003B15FA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0" w:type="dxa"/>
          </w:tcPr>
          <w:p w:rsidR="00450778" w:rsidRPr="003B15FA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rFonts w:asciiTheme="minorHAnsi" w:hAnsiTheme="minorHAnsi" w:cstheme="minorHAnsi"/>
                <w:szCs w:val="22"/>
              </w:rPr>
            </w:pPr>
            <w:r w:rsidRPr="003B15F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US"/>
              </w:rPr>
              <w:t>Åtgärd</w:t>
            </w:r>
          </w:p>
        </w:tc>
        <w:tc>
          <w:tcPr>
            <w:tcW w:w="2579" w:type="dxa"/>
          </w:tcPr>
          <w:p w:rsidR="00450778" w:rsidRPr="003B15FA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US"/>
              </w:rPr>
              <w:t>Anmärkning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När institutionen konstaterat att behov av visstidsanställd lärare föreligger, fastställer prefekten med eventuellt stöd av annan personal exempelvis studierektorn, behovets art och omfattning.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i/>
                <w:sz w:val="22"/>
                <w:szCs w:val="22"/>
              </w:rPr>
            </w:pPr>
            <w:r w:rsidRPr="00B179D5">
              <w:rPr>
                <w:i/>
                <w:iCs/>
                <w:sz w:val="22"/>
                <w:szCs w:val="22"/>
              </w:rPr>
              <w:t>Vid behov av arbetsrättsligt stöd vid rekryteringen, t ex LAS-frågor, bör Personalavdelningen kontaktas</w:t>
            </w:r>
            <w:r w:rsidRPr="00B179D5">
              <w:rPr>
                <w:i/>
                <w:sz w:val="22"/>
                <w:szCs w:val="22"/>
              </w:rPr>
              <w:t>.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 xml:space="preserve">Kravprofil (anställningsprofil) för anställningen bereds, och fastställs därefter av prefekten. Annons upprättas. </w:t>
            </w:r>
          </w:p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Samtliga utlysningar måste annonseras.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i/>
                <w:sz w:val="22"/>
                <w:szCs w:val="22"/>
              </w:rPr>
            </w:pPr>
            <w:r w:rsidRPr="00B179D5">
              <w:rPr>
                <w:i/>
                <w:sz w:val="22"/>
                <w:szCs w:val="22"/>
              </w:rPr>
              <w:t xml:space="preserve">Referensnummer erhålls av registrator (diarienumret från det centrala förvaltningsdiariet, inte </w:t>
            </w:r>
            <w:r w:rsidRPr="00B179D5">
              <w:rPr>
                <w:i/>
                <w:sz w:val="22"/>
                <w:szCs w:val="22"/>
              </w:rPr>
              <w:lastRenderedPageBreak/>
              <w:t>institutionens lokala serie).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Annonsen publiceras via ReachMee på Stockholms Universitets webb och Platsbanken samt anslås på SU:s officiella anslagstavla.</w:t>
            </w:r>
          </w:p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i/>
                <w:sz w:val="22"/>
                <w:szCs w:val="22"/>
              </w:rPr>
            </w:pPr>
            <w:r w:rsidRPr="00B179D5">
              <w:rPr>
                <w:i/>
                <w:sz w:val="22"/>
                <w:szCs w:val="22"/>
              </w:rPr>
              <w:t xml:space="preserve">Annons och urvalsfrågor bör följa standardmallar, men kan anpassas efter arbetsuppgifterna. Det ska av annonsrubriken framgå att den avser tidsbegränsad anställning. 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 xml:space="preserve">Prefekten beslutar om hur de inkomna ansökningarna ska beredas (t.ex. genom att utse en rekryteringsgrupp). </w:t>
            </w:r>
          </w:p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i/>
                <w:sz w:val="22"/>
                <w:szCs w:val="22"/>
              </w:rPr>
            </w:pPr>
            <w:r w:rsidRPr="00B179D5">
              <w:rPr>
                <w:i/>
                <w:sz w:val="22"/>
                <w:szCs w:val="22"/>
              </w:rPr>
              <w:t xml:space="preserve">Institutionen kan välja att utse externa sakkunniga bedömare. Om institutionen väljer sådant förfarande svarar institutionen för utseende av sakkunniga, fastställande av de sakkunnigas uppdrag somt eventuell arvodering. 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Prefekten/rekryteringsgruppen granskar ansökningarna och genomför vid behov intervjuer.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Prefekten motiverar skriftligen institutionens val av innehavare till anställningen.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Prefekten beslutar om lön och anställningsvillkor.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Beslut om anställning anslås på SU:s officiella anslagstavla. Den anställda och övriga sökande underrättas. Beslutet vinner laga kraft efter tre veckor, förutsatt att det inte överklagas.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i/>
                <w:sz w:val="22"/>
                <w:szCs w:val="22"/>
              </w:rPr>
              <w:t>Kopia på anslag, anställningsbeslut samt</w:t>
            </w:r>
            <w:r w:rsidRPr="00B179D5">
              <w:rPr>
                <w:sz w:val="22"/>
                <w:szCs w:val="22"/>
              </w:rPr>
              <w:t xml:space="preserve"> </w:t>
            </w:r>
            <w:r w:rsidRPr="00B179D5">
              <w:rPr>
                <w:i/>
                <w:sz w:val="22"/>
                <w:szCs w:val="22"/>
              </w:rPr>
              <w:t>motivering laddas upp i ReachMee.</w:t>
            </w: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Anställningsbeslutet (original) skickas till den anställda och kopia skickas till lönehandläggare på Personalavdelningen.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Om inga överklaganden inkommit inom tre veckor avslutas ärendet i ReachMee och arkiveras.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  <w:tr w:rsidR="00450778" w:rsidRPr="00B179D5" w:rsidTr="00334EF9">
        <w:tc>
          <w:tcPr>
            <w:tcW w:w="590" w:type="dxa"/>
          </w:tcPr>
          <w:p w:rsidR="00450778" w:rsidRPr="00B179D5" w:rsidRDefault="00B179D5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380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  <w:r w:rsidRPr="00B179D5">
              <w:rPr>
                <w:sz w:val="22"/>
                <w:szCs w:val="22"/>
              </w:rPr>
              <w:t>Vid eventuellt överklagande kontaktas Personalavdelningen eller Områdeskansliet.</w:t>
            </w:r>
          </w:p>
        </w:tc>
        <w:tc>
          <w:tcPr>
            <w:tcW w:w="2579" w:type="dxa"/>
          </w:tcPr>
          <w:p w:rsidR="00450778" w:rsidRPr="00B179D5" w:rsidRDefault="00450778" w:rsidP="00334E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364"/>
              </w:tabs>
              <w:rPr>
                <w:sz w:val="22"/>
                <w:szCs w:val="22"/>
              </w:rPr>
            </w:pPr>
          </w:p>
        </w:tc>
      </w:tr>
    </w:tbl>
    <w:p w:rsidR="00450778" w:rsidRPr="008E2DD7" w:rsidRDefault="00450778" w:rsidP="00450778">
      <w:pPr>
        <w:spacing w:after="0" w:line="240" w:lineRule="exact"/>
        <w:rPr>
          <w:rFonts w:asciiTheme="minorHAnsi" w:hAnsiTheme="minorHAnsi" w:cstheme="minorHAnsi"/>
          <w:szCs w:val="22"/>
        </w:rPr>
      </w:pPr>
    </w:p>
    <w:p w:rsidR="0088102E" w:rsidRDefault="0088102E"/>
    <w:sectPr w:rsidR="0088102E" w:rsidSect="004507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22" w:right="1588" w:bottom="2041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70" w:rsidRDefault="004C6570">
      <w:pPr>
        <w:spacing w:after="0" w:line="240" w:lineRule="auto"/>
      </w:pPr>
      <w:r>
        <w:separator/>
      </w:r>
    </w:p>
  </w:endnote>
  <w:endnote w:type="continuationSeparator" w:id="0">
    <w:p w:rsidR="004C6570" w:rsidRDefault="004C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C9" w:rsidRDefault="008B29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C9" w:rsidRDefault="008B29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C9" w:rsidRDefault="008B29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70" w:rsidRDefault="004C6570">
      <w:pPr>
        <w:spacing w:after="0" w:line="240" w:lineRule="auto"/>
      </w:pPr>
      <w:r>
        <w:separator/>
      </w:r>
    </w:p>
  </w:footnote>
  <w:footnote w:type="continuationSeparator" w:id="0">
    <w:p w:rsidR="004C6570" w:rsidRDefault="004C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C9" w:rsidRDefault="008B29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"/>
      <w:gridCol w:w="4349"/>
      <w:gridCol w:w="2058"/>
      <w:gridCol w:w="2552"/>
      <w:gridCol w:w="624"/>
    </w:tblGrid>
    <w:tr w:rsidR="004D622E" w:rsidTr="004D622E">
      <w:trPr>
        <w:trHeight w:hRule="exact" w:val="1389"/>
        <w:jc w:val="center"/>
      </w:trPr>
      <w:tc>
        <w:tcPr>
          <w:tcW w:w="963" w:type="dxa"/>
          <w:vAlign w:val="bottom"/>
        </w:tcPr>
        <w:p w:rsidR="004D622E" w:rsidRPr="00E134E6" w:rsidRDefault="004C6570" w:rsidP="004D622E">
          <w:pPr>
            <w:pStyle w:val="Adress"/>
          </w:pPr>
        </w:p>
      </w:tc>
      <w:tc>
        <w:tcPr>
          <w:tcW w:w="4349" w:type="dxa"/>
          <w:vAlign w:val="bottom"/>
        </w:tcPr>
        <w:p w:rsidR="004D622E" w:rsidRPr="00E134E6" w:rsidRDefault="00450778" w:rsidP="004D622E">
          <w:pPr>
            <w:pStyle w:val="Adress"/>
          </w:pPr>
          <w:bookmarkStart w:id="1" w:name="bLogoLeftHeader2"/>
          <w:bookmarkEnd w:id="1"/>
          <w:r>
            <w:rPr>
              <w:lang w:eastAsia="sv-SE"/>
            </w:rPr>
            <w:drawing>
              <wp:inline distT="0" distB="0" distL="0" distR="0" wp14:anchorId="54246727" wp14:editId="139618E4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vAlign w:val="bottom"/>
        </w:tcPr>
        <w:p w:rsidR="004D622E" w:rsidRPr="00E134E6" w:rsidRDefault="004C6570" w:rsidP="004D622E">
          <w:pPr>
            <w:pStyle w:val="SuDatum"/>
          </w:pPr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:rsidR="004D622E" w:rsidRPr="00AE5927" w:rsidRDefault="004C6570" w:rsidP="004D622E">
          <w:pPr>
            <w:pStyle w:val="SuDatum"/>
          </w:pPr>
        </w:p>
      </w:tc>
      <w:tc>
        <w:tcPr>
          <w:tcW w:w="624" w:type="dxa"/>
          <w:tcMar>
            <w:left w:w="0" w:type="dxa"/>
            <w:right w:w="57" w:type="dxa"/>
          </w:tcMar>
        </w:tcPr>
        <w:p w:rsidR="004D622E" w:rsidRPr="00EE6FE3" w:rsidRDefault="00450778" w:rsidP="008B29C9">
          <w:pPr>
            <w:jc w:val="right"/>
            <w:rPr>
              <w:sz w:val="18"/>
              <w:szCs w:val="18"/>
            </w:rPr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B54C1A">
            <w:rPr>
              <w:rStyle w:val="Sidnummer"/>
              <w:noProof/>
              <w:sz w:val="18"/>
              <w:szCs w:val="18"/>
            </w:rPr>
            <w:t>3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="008B29C9">
            <w:rPr>
              <w:rStyle w:val="Sidnummer"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4D622E" w:rsidRDefault="004C6570" w:rsidP="004D62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C9" w:rsidRDefault="008B29C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78"/>
    <w:rsid w:val="000E108C"/>
    <w:rsid w:val="00125248"/>
    <w:rsid w:val="00192D28"/>
    <w:rsid w:val="0020531A"/>
    <w:rsid w:val="00450778"/>
    <w:rsid w:val="004C6570"/>
    <w:rsid w:val="005526AF"/>
    <w:rsid w:val="00670647"/>
    <w:rsid w:val="007E7060"/>
    <w:rsid w:val="008721B3"/>
    <w:rsid w:val="0088102E"/>
    <w:rsid w:val="008B29C9"/>
    <w:rsid w:val="00B179D5"/>
    <w:rsid w:val="00B54C1A"/>
    <w:rsid w:val="00C277E8"/>
    <w:rsid w:val="00D92D09"/>
    <w:rsid w:val="00DB4BA5"/>
    <w:rsid w:val="00E74C00"/>
    <w:rsid w:val="00F37FB4"/>
    <w:rsid w:val="00F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3759-C7F1-4224-ABDF-510FCE78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78"/>
    <w:pPr>
      <w:spacing w:after="260" w:line="260" w:lineRule="exact"/>
    </w:pPr>
    <w:rPr>
      <w:rFonts w:ascii="Times New Roman" w:eastAsia="Times New Roman" w:hAnsi="Times New Roman" w:cs="Times New Roman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rsid w:val="00450778"/>
  </w:style>
  <w:style w:type="table" w:styleId="Tabellrutnt">
    <w:name w:val="Table Grid"/>
    <w:basedOn w:val="Normaltabell"/>
    <w:rsid w:val="00450778"/>
    <w:pPr>
      <w:spacing w:after="260" w:line="260" w:lineRule="exact"/>
    </w:pPr>
    <w:rPr>
      <w:rFonts w:ascii="Times New Roman" w:hAnsi="Times New Roman" w:cs="Times New Roman"/>
      <w:sz w:val="20"/>
      <w:szCs w:val="20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450778"/>
    <w:pPr>
      <w:spacing w:after="260" w:line="260" w:lineRule="atLeast"/>
    </w:pPr>
    <w:rPr>
      <w:rFonts w:ascii="Times New Roman" w:hAnsi="Times New Roman" w:cs="Times New Roman"/>
      <w:szCs w:val="24"/>
      <w:lang w:val="sv-SE" w:eastAsia="zh-CN"/>
    </w:rPr>
  </w:style>
  <w:style w:type="paragraph" w:customStyle="1" w:styleId="Adress">
    <w:name w:val="Adress"/>
    <w:basedOn w:val="Normaltext"/>
    <w:rsid w:val="00450778"/>
    <w:pPr>
      <w:spacing w:after="0" w:line="240" w:lineRule="auto"/>
    </w:pPr>
    <w:rPr>
      <w:noProof/>
    </w:rPr>
  </w:style>
  <w:style w:type="paragraph" w:customStyle="1" w:styleId="SuDatum">
    <w:name w:val="SuDatum"/>
    <w:basedOn w:val="Sidhuvud"/>
    <w:rsid w:val="00450778"/>
    <w:pPr>
      <w:tabs>
        <w:tab w:val="clear" w:pos="4513"/>
        <w:tab w:val="clear" w:pos="9026"/>
      </w:tabs>
      <w:spacing w:after="120"/>
    </w:pPr>
    <w:rPr>
      <w:rFonts w:eastAsiaTheme="minorHAnsi"/>
      <w:noProof/>
      <w:lang w:eastAsia="zh-CN"/>
    </w:rPr>
  </w:style>
  <w:style w:type="paragraph" w:customStyle="1" w:styleId="Default">
    <w:name w:val="Default"/>
    <w:rsid w:val="00450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45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0778"/>
    <w:rPr>
      <w:rFonts w:ascii="Times New Roman" w:eastAsia="Times New Roman" w:hAnsi="Times New Roman" w:cs="Times New Roman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179D5"/>
    <w:rPr>
      <w:color w:val="0000FF"/>
      <w:u w:val="single"/>
    </w:rPr>
  </w:style>
  <w:style w:type="character" w:customStyle="1" w:styleId="paragrafbeteckning">
    <w:name w:val="paragrafbeteckning"/>
    <w:basedOn w:val="Standardstycketeckensnitt"/>
    <w:rsid w:val="00B179D5"/>
  </w:style>
  <w:style w:type="paragraph" w:styleId="Sidfot">
    <w:name w:val="footer"/>
    <w:basedOn w:val="Normal"/>
    <w:link w:val="SidfotChar"/>
    <w:uiPriority w:val="99"/>
    <w:unhideWhenUsed/>
    <w:rsid w:val="00B17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79D5"/>
    <w:rPr>
      <w:rFonts w:ascii="Times New Roman" w:eastAsia="Times New Roman" w:hAnsi="Times New Roman" w:cs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en.nu/1982:8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agen.nu/1982:8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agen.nu/1982:8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agen.nu/1982:8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Löfstedt</dc:creator>
  <cp:keywords/>
  <dc:description/>
  <cp:lastModifiedBy>Anna Frykholm</cp:lastModifiedBy>
  <cp:revision>2</cp:revision>
  <dcterms:created xsi:type="dcterms:W3CDTF">2018-10-24T09:38:00Z</dcterms:created>
  <dcterms:modified xsi:type="dcterms:W3CDTF">2018-10-24T09:38:00Z</dcterms:modified>
</cp:coreProperties>
</file>